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BA2BF" w14:textId="77777777" w:rsidR="00B43A78" w:rsidRDefault="00000000">
      <w:pPr>
        <w:spacing w:after="200"/>
        <w:jc w:val="center"/>
      </w:pPr>
      <w:r>
        <w:rPr>
          <w:b/>
          <w:bCs/>
          <w:color w:val="1F4E79"/>
          <w:sz w:val="80"/>
          <w:szCs w:val="80"/>
        </w:rPr>
        <w:t>Oferta Comercial</w:t>
      </w:r>
    </w:p>
    <w:p w14:paraId="4C3F6416" w14:textId="77777777" w:rsidR="00B43A78" w:rsidRDefault="00000000">
      <w:pPr>
        <w:spacing w:after="180"/>
        <w:jc w:val="center"/>
      </w:pPr>
      <w:r>
        <w:rPr>
          <w:b/>
          <w:bCs/>
          <w:color w:val="1F4E79"/>
          <w:sz w:val="34"/>
          <w:szCs w:val="34"/>
        </w:rPr>
        <w:t>Propuesta</w:t>
      </w:r>
    </w:p>
    <w:p w14:paraId="36EF6CA5" w14:textId="77777777" w:rsidR="00B43A78" w:rsidRDefault="00000000">
      <w:pPr>
        <w:pBdr>
          <w:bottom w:val="single" w:sz="12" w:space="8" w:color="2E75B6"/>
        </w:pBdr>
        <w:spacing w:after="1200"/>
        <w:jc w:val="center"/>
      </w:pPr>
      <w:r>
        <w:rPr>
          <w:i/>
          <w:iCs/>
          <w:color w:val="595959"/>
          <w:sz w:val="24"/>
          <w:szCs w:val="24"/>
        </w:rPr>
        <w:t>Alineado a la Metodología IA Machine — Propuesta de Oferta Comercial</w:t>
      </w:r>
    </w:p>
    <w:p w14:paraId="1A27C8D1" w14:textId="77777777" w:rsidR="00B43A78" w:rsidRDefault="00B43A78">
      <w:pPr>
        <w:spacing w:after="120"/>
      </w:pPr>
    </w:p>
    <w:p w14:paraId="034FA95C" w14:textId="77777777" w:rsidR="00B43A78" w:rsidRDefault="00000000">
      <w:pPr>
        <w:sectPr w:rsidR="00B43A78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br w:type="page"/>
      </w:r>
    </w:p>
    <w:p w14:paraId="2220E113" w14:textId="77777777" w:rsidR="00B43A78" w:rsidRDefault="00000000">
      <w:pPr>
        <w:pStyle w:val="Ttulo1"/>
      </w:pPr>
      <w:bookmarkStart w:id="0" w:name="_heading=h.qosrdhs56huv" w:colFirst="0" w:colLast="0"/>
      <w:bookmarkEnd w:id="0"/>
      <w:r>
        <w:lastRenderedPageBreak/>
        <w:t>Tabla de Contenido</w:t>
      </w:r>
    </w:p>
    <w:sdt>
      <w:sdtPr>
        <w:id w:val="-504499732"/>
        <w:docPartObj>
          <w:docPartGallery w:val="Table of Contents"/>
          <w:docPartUnique/>
        </w:docPartObj>
      </w:sdtPr>
      <w:sdtContent>
        <w:p w14:paraId="626767A6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qosrdhs56huv">
            <w:r>
              <w:rPr>
                <w:color w:val="000000"/>
              </w:rPr>
              <w:t>Tabla de Contenido</w:t>
            </w:r>
            <w:r>
              <w:rPr>
                <w:color w:val="000000"/>
              </w:rPr>
              <w:tab/>
              <w:t>2</w:t>
            </w:r>
          </w:hyperlink>
        </w:p>
        <w:p w14:paraId="340042AB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1hxg0txoqhav">
            <w:r>
              <w:rPr>
                <w:color w:val="000000"/>
              </w:rPr>
              <w:t>1. Propósito y Alcance de Este Documento</w:t>
            </w:r>
            <w:r>
              <w:rPr>
                <w:color w:val="000000"/>
              </w:rPr>
              <w:tab/>
              <w:t>3</w:t>
            </w:r>
          </w:hyperlink>
        </w:p>
        <w:p w14:paraId="090A5B2A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1hxg0txoqhav">
            <w:r>
              <w:rPr>
                <w:color w:val="000000"/>
              </w:rPr>
              <w:t>2. Notas Editoriales y Convenciones</w:t>
            </w:r>
            <w:r>
              <w:rPr>
                <w:color w:val="000000"/>
              </w:rPr>
              <w:tab/>
              <w:t>3</w:t>
            </w:r>
          </w:hyperlink>
        </w:p>
        <w:p w14:paraId="6D5800D8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i7866witaro4">
            <w:r>
              <w:rPr>
                <w:color w:val="000000"/>
              </w:rPr>
              <w:t>3. Estructura del SOW — Sección por Sección</w:t>
            </w:r>
            <w:r>
              <w:rPr>
                <w:color w:val="000000"/>
              </w:rPr>
              <w:tab/>
              <w:t>4</w:t>
            </w:r>
          </w:hyperlink>
        </w:p>
        <w:p w14:paraId="64254D36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denh8oj9ad44">
            <w:r>
              <w:rPr>
                <w:color w:val="000000"/>
              </w:rPr>
              <w:t>4.1 Dentro del alcance</w:t>
            </w:r>
            <w:r>
              <w:rPr>
                <w:color w:val="000000"/>
              </w:rPr>
              <w:tab/>
              <w:t>6</w:t>
            </w:r>
          </w:hyperlink>
        </w:p>
        <w:p w14:paraId="060FFC71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qjf1f764yjib">
            <w:r>
              <w:rPr>
                <w:color w:val="000000"/>
              </w:rPr>
              <w:t>4.2 Fuera del alcance</w:t>
            </w:r>
            <w:r>
              <w:rPr>
                <w:color w:val="000000"/>
              </w:rPr>
              <w:tab/>
              <w:t>7</w:t>
            </w:r>
          </w:hyperlink>
        </w:p>
        <w:p w14:paraId="2E543D24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zft4hwwj3akh">
            <w:r>
              <w:rPr>
                <w:color w:val="000000"/>
              </w:rPr>
              <w:t>6.1 Requisitos Funcionales a alto nivel</w:t>
            </w:r>
            <w:r>
              <w:rPr>
                <w:color w:val="000000"/>
              </w:rPr>
              <w:tab/>
              <w:t>8</w:t>
            </w:r>
          </w:hyperlink>
        </w:p>
        <w:p w14:paraId="70BA497E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6mn27r8wybb9">
            <w:r>
              <w:rPr>
                <w:color w:val="000000"/>
              </w:rPr>
              <w:t>6.2 Desarrollo por fases / Milestones</w:t>
            </w:r>
            <w:r>
              <w:rPr>
                <w:color w:val="000000"/>
              </w:rPr>
              <w:tab/>
              <w:t>9</w:t>
            </w:r>
          </w:hyperlink>
        </w:p>
        <w:p w14:paraId="35A2688D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kcoh3jy8gurh">
            <w:r>
              <w:rPr>
                <w:color w:val="000000"/>
              </w:rPr>
              <w:t>7.1 Metodología de estimación</w:t>
            </w:r>
            <w:r>
              <w:rPr>
                <w:color w:val="000000"/>
              </w:rPr>
              <w:tab/>
              <w:t>9</w:t>
            </w:r>
          </w:hyperlink>
        </w:p>
        <w:p w14:paraId="3291B3C7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eup36nepnc22">
            <w:r>
              <w:rPr>
                <w:color w:val="000000"/>
              </w:rPr>
              <w:t>7.2 Tabla de estimación por milestone</w:t>
            </w:r>
            <w:r>
              <w:rPr>
                <w:color w:val="000000"/>
              </w:rPr>
              <w:tab/>
              <w:t>10</w:t>
            </w:r>
          </w:hyperlink>
        </w:p>
        <w:p w14:paraId="1AAAA8DF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ni1dow96fqrb">
            <w:r>
              <w:rPr>
                <w:color w:val="000000"/>
              </w:rPr>
              <w:t>12.1 Arquitectura de la Solución</w:t>
            </w:r>
            <w:r>
              <w:rPr>
                <w:color w:val="000000"/>
              </w:rPr>
              <w:tab/>
              <w:t>14</w:t>
            </w:r>
          </w:hyperlink>
        </w:p>
        <w:p w14:paraId="201D22BE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440"/>
            <w:rPr>
              <w:color w:val="000000"/>
            </w:rPr>
          </w:pPr>
          <w:hyperlink w:anchor="_heading=h.ckom86h8po8v">
            <w:r>
              <w:rPr>
                <w:color w:val="000000"/>
              </w:rPr>
              <w:t>12.2 Stack de Infraestructura</w:t>
            </w:r>
            <w:r>
              <w:rPr>
                <w:color w:val="000000"/>
              </w:rPr>
              <w:tab/>
              <w:t>14</w:t>
            </w:r>
          </w:hyperlink>
        </w:p>
        <w:p w14:paraId="18CAA18D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ug4rq6tfghtk">
            <w:r>
              <w:rPr>
                <w:color w:val="000000"/>
              </w:rPr>
              <w:t>4. Cláusulas Contractuales Estándar</w:t>
            </w:r>
            <w:r>
              <w:rPr>
                <w:color w:val="000000"/>
              </w:rPr>
              <w:tab/>
              <w:t>16</w:t>
            </w:r>
          </w:hyperlink>
        </w:p>
        <w:p w14:paraId="30A45F7D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dkm55m9wpdut">
            <w:r>
              <w:rPr>
                <w:color w:val="000000"/>
              </w:rPr>
              <w:t>5. Índice Visual de la Estructura del SOW</w:t>
            </w:r>
            <w:r>
              <w:rPr>
                <w:color w:val="000000"/>
              </w:rPr>
              <w:tab/>
              <w:t>16</w:t>
            </w:r>
          </w:hyperlink>
        </w:p>
        <w:p w14:paraId="2CEFF9E8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kjfzzfip50pu">
            <w:r>
              <w:rPr>
                <w:color w:val="000000"/>
              </w:rPr>
              <w:t>6. Alineación con la Metodología IA Machine</w:t>
            </w:r>
            <w:r>
              <w:rPr>
                <w:color w:val="000000"/>
              </w:rPr>
              <w:tab/>
              <w:t>17</w:t>
            </w:r>
          </w:hyperlink>
        </w:p>
        <w:p w14:paraId="0D52F54D" w14:textId="77777777" w:rsidR="00B43A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color w:val="000000"/>
            </w:rPr>
          </w:pPr>
          <w:hyperlink w:anchor="_heading=h.4la3mj5usm5s">
            <w:r>
              <w:rPr>
                <w:color w:val="000000"/>
              </w:rPr>
              <w:t>7. Control Documental</w:t>
            </w:r>
            <w:r>
              <w:rPr>
                <w:color w:val="000000"/>
              </w:rPr>
              <w:tab/>
              <w:t>18</w:t>
            </w:r>
          </w:hyperlink>
        </w:p>
        <w:p w14:paraId="42995168" w14:textId="77777777" w:rsidR="00B43A78" w:rsidRDefault="00000000">
          <w:r>
            <w:fldChar w:fldCharType="end"/>
          </w:r>
        </w:p>
      </w:sdtContent>
    </w:sdt>
    <w:p w14:paraId="0ED4D2BC" w14:textId="77777777" w:rsidR="00B43A78" w:rsidRDefault="00000000">
      <w:r>
        <w:br w:type="page"/>
      </w:r>
    </w:p>
    <w:p w14:paraId="15A52282" w14:textId="77777777" w:rsidR="00B43A78" w:rsidRDefault="00000000">
      <w:pPr>
        <w:pStyle w:val="Ttulo1"/>
      </w:pPr>
      <w:bookmarkStart w:id="1" w:name="_heading=h.1hxg0txoqhav" w:colFirst="0" w:colLast="0"/>
      <w:bookmarkEnd w:id="1"/>
      <w:r>
        <w:lastRenderedPageBreak/>
        <w:t>1. Notas Generales</w:t>
      </w:r>
    </w:p>
    <w:p w14:paraId="7B298F25" w14:textId="77777777" w:rsidR="00B43A78" w:rsidRDefault="00B43A78">
      <w:pPr>
        <w:spacing w:after="12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6160"/>
      </w:tblGrid>
      <w:tr w:rsidR="00B43A78" w14:paraId="68C8788D" w14:textId="77777777">
        <w:trPr>
          <w:tblHeader/>
        </w:trPr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046567F2" w14:textId="77777777" w:rsidR="00B43A78" w:rsidRDefault="00000000">
            <w:r>
              <w:rPr>
                <w:b/>
                <w:bCs/>
                <w:color w:val="FFFFFF"/>
                <w:sz w:val="21"/>
                <w:szCs w:val="21"/>
              </w:rPr>
              <w:t>Convención</w:t>
            </w:r>
          </w:p>
        </w:tc>
        <w:tc>
          <w:tcPr>
            <w:tcW w:w="6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415158CD" w14:textId="77777777" w:rsidR="00B43A78" w:rsidRDefault="00000000">
            <w:r>
              <w:rPr>
                <w:b/>
                <w:bCs/>
                <w:color w:val="FFFFFF"/>
                <w:sz w:val="21"/>
                <w:szCs w:val="21"/>
              </w:rPr>
              <w:t>Descripción</w:t>
            </w:r>
          </w:p>
        </w:tc>
      </w:tr>
      <w:tr w:rsidR="00B43A78" w14:paraId="40702F1B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DC5AF62" w14:textId="77777777" w:rsidR="00B43A78" w:rsidRDefault="00000000">
            <w:r>
              <w:rPr>
                <w:sz w:val="20"/>
                <w:szCs w:val="20"/>
              </w:rPr>
              <w:t>Vigencia de la propuesta</w:t>
            </w:r>
          </w:p>
        </w:tc>
        <w:tc>
          <w:tcPr>
            <w:tcW w:w="6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3E62D99" w14:textId="77777777" w:rsidR="00B43A78" w:rsidRDefault="00000000">
            <w:r>
              <w:rPr>
                <w:sz w:val="20"/>
                <w:szCs w:val="20"/>
              </w:rPr>
              <w:t>La propuesta expira 15 días calendario después de su emisión. Pasado ese plazo, si no ha sido firmada, las condiciones deben renegociarse.</w:t>
            </w:r>
          </w:p>
        </w:tc>
      </w:tr>
      <w:tr w:rsidR="00B43A78" w14:paraId="0123A575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ACC078F" w14:textId="77777777" w:rsidR="00B43A78" w:rsidRDefault="00000000">
            <w:r>
              <w:rPr>
                <w:sz w:val="20"/>
                <w:szCs w:val="20"/>
              </w:rPr>
              <w:t>Alcance máximo de 3 meses</w:t>
            </w:r>
          </w:p>
        </w:tc>
        <w:tc>
          <w:tcPr>
            <w:tcW w:w="6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04AD03D" w14:textId="77777777" w:rsidR="00B43A78" w:rsidRDefault="00000000">
            <w:r>
              <w:rPr>
                <w:sz w:val="20"/>
                <w:szCs w:val="20"/>
              </w:rPr>
              <w:t xml:space="preserve">Si la estimación total supera los 3 meses, el </w:t>
            </w:r>
            <w:proofErr w:type="spellStart"/>
            <w:r>
              <w:rPr>
                <w:sz w:val="20"/>
                <w:szCs w:val="20"/>
              </w:rPr>
              <w:t>doc</w:t>
            </w:r>
            <w:proofErr w:type="spellEnd"/>
            <w:r>
              <w:rPr>
                <w:sz w:val="20"/>
                <w:szCs w:val="20"/>
              </w:rPr>
              <w:t xml:space="preserve"> solo cubre los primeros 3 meses. El alcance restante se documenta como fase posterior y se formaliza en un nuevo Orden de servicio.</w:t>
            </w:r>
          </w:p>
        </w:tc>
      </w:tr>
      <w:tr w:rsidR="00B43A78" w14:paraId="351D1C88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F8F1F31" w14:textId="77777777" w:rsidR="00B43A78" w:rsidRDefault="00000000">
            <w:proofErr w:type="spellStart"/>
            <w:r>
              <w:rPr>
                <w:sz w:val="20"/>
                <w:szCs w:val="20"/>
              </w:rPr>
              <w:t>Testing</w:t>
            </w:r>
            <w:proofErr w:type="spellEnd"/>
            <w:r>
              <w:rPr>
                <w:sz w:val="20"/>
                <w:szCs w:val="20"/>
              </w:rPr>
              <w:t xml:space="preserve"> QA </w:t>
            </w:r>
            <w:proofErr w:type="spellStart"/>
            <w:r>
              <w:rPr>
                <w:sz w:val="20"/>
                <w:szCs w:val="20"/>
              </w:rPr>
              <w:t>Automation</w:t>
            </w:r>
            <w:proofErr w:type="spellEnd"/>
          </w:p>
        </w:tc>
        <w:tc>
          <w:tcPr>
            <w:tcW w:w="6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0AC82A7" w14:textId="77777777" w:rsidR="00B43A78" w:rsidRDefault="00000000">
            <w:r>
              <w:rPr>
                <w:sz w:val="20"/>
                <w:szCs w:val="20"/>
              </w:rPr>
              <w:t xml:space="preserve">Todo análisis de estimación debe reflejar que el proceso de </w:t>
            </w:r>
            <w:proofErr w:type="spellStart"/>
            <w:r>
              <w:rPr>
                <w:sz w:val="20"/>
                <w:szCs w:val="20"/>
              </w:rPr>
              <w:t>testing</w:t>
            </w:r>
            <w:proofErr w:type="spellEnd"/>
            <w:r>
              <w:rPr>
                <w:sz w:val="20"/>
                <w:szCs w:val="20"/>
              </w:rPr>
              <w:t xml:space="preserve"> será mediante QA </w:t>
            </w:r>
            <w:proofErr w:type="spellStart"/>
            <w:r>
              <w:rPr>
                <w:sz w:val="20"/>
                <w:szCs w:val="20"/>
              </w:rPr>
              <w:t>Automation</w:t>
            </w:r>
            <w:proofErr w:type="spellEnd"/>
            <w:r>
              <w:rPr>
                <w:sz w:val="20"/>
                <w:szCs w:val="20"/>
              </w:rPr>
              <w:t>, no solo pruebas manuales.</w:t>
            </w:r>
          </w:p>
        </w:tc>
      </w:tr>
      <w:tr w:rsidR="00B43A78" w14:paraId="66A6C59D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8DC5B68" w14:textId="77777777" w:rsidR="00B43A78" w:rsidRDefault="00000000">
            <w:r>
              <w:rPr>
                <w:sz w:val="20"/>
                <w:szCs w:val="20"/>
              </w:rPr>
              <w:t xml:space="preserve">Proyectos sobre plataformas open </w:t>
            </w:r>
            <w:proofErr w:type="spellStart"/>
            <w:r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6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8AB81FD" w14:textId="77777777" w:rsidR="00B43A78" w:rsidRDefault="00000000">
            <w:r>
              <w:rPr>
                <w:sz w:val="20"/>
                <w:szCs w:val="20"/>
              </w:rPr>
              <w:t xml:space="preserve">Si el proyecto se basa en </w:t>
            </w:r>
            <w:proofErr w:type="spellStart"/>
            <w:r>
              <w:rPr>
                <w:sz w:val="20"/>
                <w:szCs w:val="20"/>
              </w:rPr>
              <w:t>ERPNext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Frappe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Prestashop</w:t>
            </w:r>
            <w:proofErr w:type="spellEnd"/>
            <w:r>
              <w:rPr>
                <w:sz w:val="20"/>
                <w:szCs w:val="20"/>
              </w:rPr>
              <w:t xml:space="preserve"> u otros sistemas de software libre, se debe estimar explícitamente la gestión de actualizaciones del </w:t>
            </w:r>
            <w:proofErr w:type="spellStart"/>
            <w:r>
              <w:rPr>
                <w:sz w:val="20"/>
                <w:szCs w:val="20"/>
              </w:rPr>
              <w:t>core</w:t>
            </w:r>
            <w:proofErr w:type="spellEnd"/>
            <w:r>
              <w:rPr>
                <w:sz w:val="20"/>
                <w:szCs w:val="20"/>
              </w:rPr>
              <w:t xml:space="preserve"> de la plataforma.</w:t>
            </w:r>
          </w:p>
        </w:tc>
      </w:tr>
    </w:tbl>
    <w:p w14:paraId="26F7F7DF" w14:textId="77777777" w:rsidR="00B43A78" w:rsidRDefault="00B43A78">
      <w:pPr>
        <w:spacing w:after="120"/>
      </w:pPr>
    </w:p>
    <w:p w14:paraId="11ECE5B4" w14:textId="77777777" w:rsidR="00B43A78" w:rsidRDefault="00000000">
      <w:r>
        <w:br w:type="page"/>
      </w:r>
    </w:p>
    <w:p w14:paraId="4834ED00" w14:textId="77777777" w:rsidR="00B43A78" w:rsidRDefault="00000000">
      <w:pPr>
        <w:pStyle w:val="Ttulo1"/>
      </w:pPr>
      <w:bookmarkStart w:id="2" w:name="_heading=h.i7866witaro4" w:colFirst="0" w:colLast="0"/>
      <w:bookmarkEnd w:id="2"/>
      <w:r>
        <w:lastRenderedPageBreak/>
        <w:t>2. Estructura de la Oferta Comercial</w:t>
      </w:r>
    </w:p>
    <w:p w14:paraId="31750533" w14:textId="77777777" w:rsidR="00B43A78" w:rsidRDefault="00000000">
      <w:pPr>
        <w:spacing w:after="120"/>
      </w:pPr>
      <w:r>
        <w:t>Se propone que tenga la misma estructura del Documento General del Proyecto, se listan a continuación dichos puntos.</w:t>
      </w:r>
    </w:p>
    <w:p w14:paraId="71553417" w14:textId="77777777" w:rsidR="00B43A78" w:rsidRDefault="00B43A78">
      <w:pPr>
        <w:spacing w:after="120"/>
      </w:pPr>
    </w:p>
    <w:p w14:paraId="6CBC49E4" w14:textId="77777777" w:rsidR="00B43A78" w:rsidRDefault="00000000">
      <w:pPr>
        <w:spacing w:after="40"/>
      </w:pPr>
      <w:r>
        <w:rPr>
          <w:color w:val="1F4E79"/>
        </w:rPr>
        <w:t>1.- Visión General del Proyecto</w:t>
      </w:r>
    </w:p>
    <w:p w14:paraId="0E6BB3A1" w14:textId="77777777" w:rsidR="00B43A78" w:rsidRDefault="00000000">
      <w:pPr>
        <w:spacing w:after="40"/>
        <w:rPr>
          <w:color w:val="1F4E79"/>
        </w:rPr>
      </w:pPr>
      <w:r>
        <w:rPr>
          <w:color w:val="1F4E79"/>
        </w:rPr>
        <w:t>2.</w:t>
      </w:r>
      <w:r>
        <w:t xml:space="preserve"> </w:t>
      </w:r>
      <w:r>
        <w:rPr>
          <w:color w:val="1F4E79"/>
        </w:rPr>
        <w:t>Problema a Resolver</w:t>
      </w:r>
    </w:p>
    <w:p w14:paraId="54D6EE72" w14:textId="77777777" w:rsidR="00B43A78" w:rsidRDefault="00000000">
      <w:pPr>
        <w:spacing w:after="40"/>
      </w:pPr>
      <w:r>
        <w:rPr>
          <w:color w:val="1F4E79"/>
        </w:rPr>
        <w:t>3.- Objetivo del Proyecto</w:t>
      </w:r>
    </w:p>
    <w:p w14:paraId="548665C7" w14:textId="77777777" w:rsidR="00B43A78" w:rsidRDefault="00000000">
      <w:pPr>
        <w:spacing w:after="40"/>
      </w:pPr>
      <w:r>
        <w:rPr>
          <w:color w:val="1F4E79"/>
        </w:rPr>
        <w:t>4.- Alcance del Proyecto</w:t>
      </w:r>
    </w:p>
    <w:p w14:paraId="42FB5F61" w14:textId="77777777" w:rsidR="00B43A78" w:rsidRDefault="00000000">
      <w:pPr>
        <w:spacing w:after="40"/>
      </w:pPr>
      <w:r>
        <w:t>4.1 Dentro del alcance</w:t>
      </w:r>
    </w:p>
    <w:p w14:paraId="4086EF25" w14:textId="77777777" w:rsidR="00B43A78" w:rsidRDefault="00000000">
      <w:pPr>
        <w:spacing w:after="40"/>
      </w:pPr>
      <w:r>
        <w:t>4.2 Fuera del alcance</w:t>
      </w:r>
    </w:p>
    <w:p w14:paraId="13912F4B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</w:pPr>
      <w:r>
        <w:t>4.5 Supuestos</w:t>
      </w:r>
    </w:p>
    <w:p w14:paraId="43D00359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1F4E79"/>
        </w:rPr>
      </w:pPr>
      <w:r>
        <w:t>4.4 Riesgos Identificados</w:t>
      </w:r>
    </w:p>
    <w:p w14:paraId="1E1D4287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1F4E79"/>
        </w:rPr>
      </w:pPr>
      <w:r>
        <w:rPr>
          <w:color w:val="1F4E79"/>
        </w:rPr>
        <w:t>5.- Precondiciones</w:t>
      </w:r>
    </w:p>
    <w:p w14:paraId="638DFCAC" w14:textId="77777777" w:rsidR="00B43A78" w:rsidRDefault="00000000">
      <w:pPr>
        <w:spacing w:after="40"/>
        <w:rPr>
          <w:color w:val="1F4E79"/>
        </w:rPr>
      </w:pPr>
      <w:r>
        <w:rPr>
          <w:color w:val="1F4E79"/>
        </w:rPr>
        <w:t>6.- Propuesta de la Solución</w:t>
      </w:r>
    </w:p>
    <w:p w14:paraId="59234533" w14:textId="77777777" w:rsidR="00B43A78" w:rsidRDefault="00000000">
      <w:pPr>
        <w:spacing w:after="40"/>
      </w:pPr>
      <w:r>
        <w:t>6.1 Requisitos Funcionales y No funcionales a alto nivel</w:t>
      </w:r>
    </w:p>
    <w:p w14:paraId="392292E4" w14:textId="77777777" w:rsidR="00B43A78" w:rsidRDefault="00000000">
      <w:pPr>
        <w:spacing w:after="40"/>
      </w:pPr>
      <w:r>
        <w:rPr>
          <w:color w:val="1F4E79"/>
        </w:rPr>
        <w:t xml:space="preserve"> 7.- Cronograma a Alto Nivel</w:t>
      </w:r>
    </w:p>
    <w:p w14:paraId="7E69F4BD" w14:textId="77777777" w:rsidR="00B43A78" w:rsidRDefault="00000000">
      <w:pPr>
        <w:spacing w:after="40"/>
      </w:pPr>
      <w:r>
        <w:rPr>
          <w:color w:val="000000"/>
        </w:rPr>
        <w:t xml:space="preserve">7.1 Desarrollo por fases / Estimación de Entregables por </w:t>
      </w:r>
      <w:proofErr w:type="spellStart"/>
      <w:r>
        <w:rPr>
          <w:color w:val="000000"/>
        </w:rPr>
        <w:t>Milestone</w:t>
      </w:r>
      <w:proofErr w:type="spellEnd"/>
    </w:p>
    <w:p w14:paraId="41DEF48A" w14:textId="77777777" w:rsidR="00B43A78" w:rsidRDefault="00000000">
      <w:pPr>
        <w:spacing w:after="40"/>
      </w:pPr>
      <w:r>
        <w:rPr>
          <w:color w:val="1F4E79"/>
        </w:rPr>
        <w:t>8.- Enfoque Metodológico</w:t>
      </w:r>
    </w:p>
    <w:p w14:paraId="215831F8" w14:textId="77777777" w:rsidR="00B43A78" w:rsidRDefault="00000000">
      <w:pPr>
        <w:spacing w:after="40"/>
      </w:pPr>
      <w:r>
        <w:rPr>
          <w:color w:val="1F4E79"/>
        </w:rPr>
        <w:t>9.- Arquitectura Técnica Propuesta</w:t>
      </w:r>
    </w:p>
    <w:p w14:paraId="4F81B6C8" w14:textId="77777777" w:rsidR="00B43A78" w:rsidRDefault="00000000">
      <w:pPr>
        <w:spacing w:after="120"/>
      </w:pPr>
      <w:proofErr w:type="spellStart"/>
      <w:r>
        <w:rPr>
          <w:i/>
          <w:iCs/>
          <w:color w:val="595959"/>
          <w:sz w:val="20"/>
          <w:szCs w:val="20"/>
        </w:rPr>
        <w:t>Stack</w:t>
      </w:r>
      <w:proofErr w:type="spellEnd"/>
      <w:r>
        <w:rPr>
          <w:i/>
          <w:iCs/>
          <w:color w:val="595959"/>
          <w:sz w:val="20"/>
          <w:szCs w:val="20"/>
        </w:rPr>
        <w:t xml:space="preserve"> tecnológico y arquitectura de la solución</w:t>
      </w:r>
    </w:p>
    <w:p w14:paraId="3E4DFFA2" w14:textId="77777777" w:rsidR="00B43A78" w:rsidRDefault="00000000">
      <w:pPr>
        <w:spacing w:after="120"/>
      </w:pPr>
      <w:r>
        <w:rPr>
          <w:color w:val="000000"/>
        </w:rPr>
        <w:t>1</w:t>
      </w:r>
      <w:r>
        <w:t>0</w:t>
      </w:r>
      <w:r>
        <w:rPr>
          <w:color w:val="000000"/>
        </w:rPr>
        <w:t>.1 Arquitectura de la Solución</w:t>
      </w:r>
    </w:p>
    <w:p w14:paraId="5154AFAF" w14:textId="77777777" w:rsidR="00B43A78" w:rsidRDefault="00000000">
      <w:pPr>
        <w:spacing w:after="120"/>
        <w:rPr>
          <w:color w:val="000000"/>
        </w:rPr>
      </w:pPr>
      <w:r>
        <w:rPr>
          <w:color w:val="000000"/>
        </w:rPr>
        <w:t>1</w:t>
      </w:r>
      <w:r>
        <w:t>0</w:t>
      </w:r>
      <w:r>
        <w:rPr>
          <w:color w:val="000000"/>
        </w:rPr>
        <w:t xml:space="preserve">.2 </w:t>
      </w:r>
      <w:proofErr w:type="spellStart"/>
      <w:r>
        <w:rPr>
          <w:color w:val="000000"/>
        </w:rPr>
        <w:t>Stack</w:t>
      </w:r>
      <w:proofErr w:type="spellEnd"/>
      <w:r>
        <w:rPr>
          <w:color w:val="000000"/>
        </w:rPr>
        <w:t xml:space="preserve"> de Infraestructura</w:t>
      </w:r>
    </w:p>
    <w:p w14:paraId="38E4B181" w14:textId="77777777" w:rsidR="00B43A78" w:rsidRDefault="00000000">
      <w:pPr>
        <w:spacing w:after="40"/>
      </w:pPr>
      <w:r>
        <w:rPr>
          <w:color w:val="1F4E79"/>
        </w:rPr>
        <w:t>12.- Precio y Condiciones de Pago</w:t>
      </w:r>
    </w:p>
    <w:p w14:paraId="387A6F0A" w14:textId="77777777" w:rsidR="00B43A78" w:rsidRDefault="00000000">
      <w:pPr>
        <w:spacing w:after="120"/>
      </w:pPr>
      <w:r>
        <w:rPr>
          <w:i/>
          <w:iCs/>
          <w:color w:val="595959"/>
          <w:sz w:val="20"/>
          <w:szCs w:val="20"/>
        </w:rPr>
        <w:t>Valor total del proyecto y esquema de facturación</w:t>
      </w:r>
    </w:p>
    <w:p w14:paraId="4C02AFEB" w14:textId="77777777" w:rsidR="00B43A78" w:rsidRDefault="00000000">
      <w:pPr>
        <w:spacing w:after="120" w:line="300" w:lineRule="auto"/>
        <w:jc w:val="both"/>
      </w:pPr>
      <w:r>
        <w:t>Contenido que debe incluir:</w:t>
      </w:r>
    </w:p>
    <w:p w14:paraId="1E23A9AF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ind w:left="720"/>
        <w:rPr>
          <w:color w:val="000000"/>
        </w:rPr>
      </w:pPr>
      <w:r>
        <w:rPr>
          <w:color w:val="000000"/>
        </w:rPr>
        <w:t>Precio total del proyecto (excluyendo impuestos aplicables).</w:t>
      </w:r>
    </w:p>
    <w:p w14:paraId="593153D9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ind w:left="720"/>
        <w:rPr>
          <w:color w:val="000000"/>
        </w:rPr>
      </w:pPr>
      <w:r>
        <w:rPr>
          <w:color w:val="000000"/>
        </w:rPr>
        <w:t>Esquema de pagos: cuotas, montos y fechas/condiciones de facturación de cada cuota.</w:t>
      </w:r>
    </w:p>
    <w:p w14:paraId="546A8B4A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ind w:left="720"/>
        <w:rPr>
          <w:color w:val="000000"/>
        </w:rPr>
      </w:pPr>
      <w:r>
        <w:rPr>
          <w:color w:val="000000"/>
        </w:rPr>
        <w:t>Aclaración sobre IVA o impuestos aplicables.</w:t>
      </w:r>
    </w:p>
    <w:p w14:paraId="166E7F76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ind w:left="720"/>
        <w:rPr>
          <w:color w:val="000000"/>
        </w:rPr>
      </w:pPr>
      <w:r>
        <w:rPr>
          <w:color w:val="000000"/>
        </w:rPr>
        <w:t xml:space="preserve">Mensualidades de mantenimiento y soporte </w:t>
      </w:r>
      <w:proofErr w:type="spellStart"/>
      <w:r>
        <w:rPr>
          <w:color w:val="000000"/>
        </w:rPr>
        <w:t>post-entrega</w:t>
      </w:r>
      <w:proofErr w:type="spellEnd"/>
      <w:r>
        <w:rPr>
          <w:color w:val="000000"/>
        </w:rPr>
        <w:t xml:space="preserve"> (si aplica): monto, inicio, qué incluye y qué no incluye.</w:t>
      </w:r>
    </w:p>
    <w:p w14:paraId="281C82B9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ind w:left="720"/>
        <w:rPr>
          <w:color w:val="000000"/>
        </w:rPr>
      </w:pPr>
      <w:r>
        <w:rPr>
          <w:color w:val="000000"/>
        </w:rPr>
        <w:t>Condición de pago: plazo máximo de pago tras recepción de factura (estándar: 30 días).</w:t>
      </w:r>
    </w:p>
    <w:p w14:paraId="68CFB72A" w14:textId="77777777" w:rsidR="00B43A7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ind w:left="720"/>
        <w:rPr>
          <w:color w:val="000000"/>
        </w:rPr>
      </w:pPr>
      <w:r>
        <w:rPr>
          <w:color w:val="000000"/>
        </w:rPr>
        <w:t>Condición de terminación anticipada: si el cliente termina el contrato antes del plazo, el total del valor de desarrollo debe completarse.</w:t>
      </w:r>
    </w:p>
    <w:p w14:paraId="03B2BCCC" w14:textId="77777777" w:rsidR="00B43A78" w:rsidRDefault="00B43A78">
      <w:pPr>
        <w:spacing w:after="120"/>
      </w:pP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43A78" w14:paraId="0584E1C0" w14:textId="77777777">
        <w:tc>
          <w:tcPr>
            <w:tcW w:w="9360" w:type="dxa"/>
            <w:tcBorders>
              <w:top w:val="single" w:sz="4" w:space="0" w:color="2E75B6"/>
              <w:left w:val="single" w:sz="24" w:space="0" w:color="2E75B6"/>
              <w:bottom w:val="single" w:sz="4" w:space="0" w:color="2E75B6"/>
              <w:right w:val="single" w:sz="4" w:space="0" w:color="2E75B6"/>
            </w:tcBorders>
            <w:shd w:val="clear" w:color="auto" w:fill="FFF4CC"/>
            <w:tcMar>
              <w:top w:w="160" w:type="dxa"/>
              <w:left w:w="220" w:type="dxa"/>
              <w:bottom w:w="160" w:type="dxa"/>
              <w:right w:w="220" w:type="dxa"/>
            </w:tcMar>
          </w:tcPr>
          <w:p w14:paraId="7B019F38" w14:textId="77777777" w:rsidR="00B43A78" w:rsidRDefault="00000000">
            <w:pPr>
              <w:spacing w:after="60"/>
            </w:pPr>
            <w:r>
              <w:rPr>
                <w:b/>
                <w:bCs/>
                <w:color w:val="1F4E79"/>
              </w:rPr>
              <w:t>Qué incluyen / no incluyen las mensualidades</w:t>
            </w:r>
          </w:p>
          <w:p w14:paraId="084621A1" w14:textId="77777777" w:rsidR="00B43A78" w:rsidRDefault="00000000">
            <w:pPr>
              <w:spacing w:line="280" w:lineRule="auto"/>
              <w:jc w:val="both"/>
            </w:pPr>
            <w:r>
              <w:rPr>
                <w:sz w:val="21"/>
                <w:szCs w:val="21"/>
              </w:rPr>
              <w:lastRenderedPageBreak/>
              <w:t>INCLUYEN: infraestructura tecnológica completa, actualizaciones y mantenimientos de seguridad del sistema, soporte técnico prioritario (hasta N horas mensuales).  NO INCLUYEN: desarrollo de nuevas características, solicitudes de cambio, integraciones con nuevos sistemas. Estos se formalizarán en acuerdos adicionales.</w:t>
            </w:r>
          </w:p>
        </w:tc>
      </w:tr>
    </w:tbl>
    <w:p w14:paraId="55D5486F" w14:textId="77777777" w:rsidR="00B43A78" w:rsidRDefault="00B43A78">
      <w:pPr>
        <w:spacing w:after="120"/>
      </w:pPr>
    </w:p>
    <w:p w14:paraId="7248A150" w14:textId="736B7D12" w:rsidR="00B43A78" w:rsidRDefault="00B43A78"/>
    <w:sectPr w:rsidR="00B43A78">
      <w:headerReference w:type="default" r:id="rId7"/>
      <w:footerReference w:type="default" r:id="rId8"/>
      <w:pgSz w:w="12240" w:h="15840"/>
      <w:pgMar w:top="1440" w:right="1440" w:bottom="1440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D686A" w14:textId="77777777" w:rsidR="0070182A" w:rsidRDefault="0070182A">
      <w:r>
        <w:separator/>
      </w:r>
    </w:p>
  </w:endnote>
  <w:endnote w:type="continuationSeparator" w:id="0">
    <w:p w14:paraId="6337E962" w14:textId="77777777" w:rsidR="0070182A" w:rsidRDefault="0070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F04BA9-9CE8-4E6C-83A4-86B139F198BB}"/>
    <w:embedBold r:id="rId2" w:fontKey="{C8A83160-33D3-428A-A715-8EC83745A3EF}"/>
    <w:embedItalic r:id="rId3" w:fontKey="{42773957-2121-4493-9C8E-A6BEBDC337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3DBB701-C278-4AA9-B493-C14628018E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5DF97D-8FF1-4964-A9B3-846E42F4C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A13BE" w14:textId="77777777" w:rsidR="00B43A78" w:rsidRDefault="00000000">
    <w:pPr>
      <w:jc w:val="center"/>
    </w:pPr>
    <w:r>
      <w:rPr>
        <w:color w:val="808080"/>
        <w:sz w:val="18"/>
        <w:szCs w:val="18"/>
      </w:rPr>
      <w:t xml:space="preserve">Página </w:t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 w:rsidR="002B1E84">
      <w:rPr>
        <w:noProof/>
        <w:color w:val="808080"/>
        <w:sz w:val="18"/>
        <w:szCs w:val="18"/>
      </w:rPr>
      <w:t>2</w:t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 xml:space="preserve"> de </w:t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NUMPAGES</w:instrText>
    </w:r>
    <w:r>
      <w:rPr>
        <w:color w:val="808080"/>
        <w:sz w:val="18"/>
        <w:szCs w:val="18"/>
      </w:rPr>
      <w:fldChar w:fldCharType="separate"/>
    </w:r>
    <w:r w:rsidR="002B1E84">
      <w:rPr>
        <w:noProof/>
        <w:color w:val="808080"/>
        <w:sz w:val="18"/>
        <w:szCs w:val="18"/>
      </w:rPr>
      <w:t>3</w:t>
    </w:r>
    <w:r>
      <w:rPr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90CB6" w14:textId="77777777" w:rsidR="0070182A" w:rsidRDefault="0070182A">
      <w:r>
        <w:separator/>
      </w:r>
    </w:p>
  </w:footnote>
  <w:footnote w:type="continuationSeparator" w:id="0">
    <w:p w14:paraId="2E4724F1" w14:textId="77777777" w:rsidR="0070182A" w:rsidRDefault="00701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44444" w14:textId="77777777" w:rsidR="00B43A78" w:rsidRDefault="00000000">
    <w:pPr>
      <w:pBdr>
        <w:bottom w:val="single" w:sz="6" w:space="4" w:color="2E75B6"/>
      </w:pBdr>
      <w:jc w:val="right"/>
    </w:pPr>
    <w:r>
      <w:rPr>
        <w:b/>
        <w:bCs/>
        <w:color w:val="1F4E79"/>
        <w:sz w:val="18"/>
        <w:szCs w:val="18"/>
      </w:rPr>
      <w:t>Propuesta Oferta Comercial — IA Machine</w:t>
    </w:r>
    <w:r>
      <w:rPr>
        <w:color w:val="808080"/>
        <w:sz w:val="18"/>
        <w:szCs w:val="18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A78"/>
    <w:rsid w:val="002B1E84"/>
    <w:rsid w:val="00581C21"/>
    <w:rsid w:val="0070182A"/>
    <w:rsid w:val="00B4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77651"/>
  <w15:docId w15:val="{2A51311B-DF33-4257-AE53-76B91998E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C" w:eastAsia="es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single" w:sz="8" w:space="4" w:color="2E75B6"/>
        <w:right w:val="nil"/>
        <w:between w:val="nil"/>
      </w:pBdr>
      <w:spacing w:before="360" w:after="200"/>
      <w:outlineLvl w:val="0"/>
    </w:pPr>
    <w:rPr>
      <w:b/>
      <w:bCs/>
      <w:color w:val="1F4E79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80" w:after="160"/>
      <w:outlineLvl w:val="1"/>
    </w:pPr>
    <w:rPr>
      <w:b/>
      <w:bCs/>
      <w:color w:val="1F4E79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0" w:after="120"/>
      <w:outlineLvl w:val="2"/>
    </w:pPr>
    <w:rPr>
      <w:b/>
      <w:bCs/>
      <w:color w:val="2E75B6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m3elsKD91VRxck/V2a0tJwOKBA==">CgMxLjAyDmgucW9zcmRoczU2aHV2Mg5oLjFoeGcwdHhvcWhhdjIOaC5pNzg2NndpdGFybzQ4AHIhMTN3c2pxM3c0a2ZxR1Uwb3dSQkVXZGR2M3R6Wk1YZWRt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613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Reynaldo Suarez</cp:lastModifiedBy>
  <cp:revision>3</cp:revision>
  <dcterms:created xsi:type="dcterms:W3CDTF">2026-05-26T19:35:00Z</dcterms:created>
  <dcterms:modified xsi:type="dcterms:W3CDTF">2026-05-26T19:35:00Z</dcterms:modified>
</cp:coreProperties>
</file>